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b w:val="0"/>
          <w:i w:val="0"/>
          <w:color w:val="auto"/>
          <w:sz w:val="36"/>
          <w:szCs w:val="36"/>
          <w:u w:val="single"/>
        </w:rPr>
        <w:t>QZTCJWC202</w:t>
      </w:r>
      <w:r>
        <w:rPr>
          <w:rFonts w:hint="eastAsia"/>
          <w:b w:val="0"/>
          <w:i w:val="0"/>
          <w:color w:val="auto"/>
          <w:sz w:val="36"/>
          <w:szCs w:val="36"/>
          <w:u w:val="single"/>
          <w:lang w:val="en-US" w:eastAsia="zh-CN"/>
        </w:rPr>
        <w:t>5</w:t>
      </w:r>
      <w:r>
        <w:rPr>
          <w:b w:val="0"/>
          <w:i w:val="0"/>
          <w:color w:val="auto"/>
          <w:sz w:val="36"/>
          <w:szCs w:val="36"/>
          <w:u w:val="single"/>
        </w:rPr>
        <w:t>00</w:t>
      </w:r>
      <w:r>
        <w:rPr>
          <w:rFonts w:hint="eastAsia"/>
          <w:b w:val="0"/>
          <w:i w:val="0"/>
          <w:color w:val="auto"/>
          <w:sz w:val="36"/>
          <w:szCs w:val="36"/>
          <w:u w:val="single"/>
          <w:lang w:val="en-US" w:eastAsia="zh-CN"/>
        </w:rPr>
        <w:t>2</w:t>
      </w:r>
      <w:r>
        <w:rPr>
          <w:rFonts w:hint="eastAsia"/>
          <w:b w:val="0"/>
          <w:i w:val="0"/>
          <w:color w:val="auto"/>
          <w:sz w:val="24"/>
          <w:u w:val="single"/>
          <w:lang w:val="en-US" w:eastAsia="zh-CN"/>
        </w:rPr>
        <w:t xml:space="preserve">    </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FF0000"/>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Times New Roman" w:hAnsi="Times New Roman" w:eastAsia="宋体" w:cs="Times New Roman"/>
          <w:b w:val="0"/>
          <w:i w:val="0"/>
          <w:color w:val="auto"/>
          <w:sz w:val="36"/>
          <w:szCs w:val="36"/>
          <w:u w:val="single"/>
        </w:rPr>
        <w:t>分布式无线扩声系统</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教务处</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3 </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w:t>
          </w:r>
          <w:bookmarkStart w:id="105" w:name="_GoBack"/>
          <w:bookmarkEnd w:id="105"/>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10914"/>
      <w:bookmarkStart w:id="3" w:name="_Toc18223"/>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8257116"/>
      <w:bookmarkStart w:id="6" w:name="_Toc35622007"/>
      <w:bookmarkStart w:id="7" w:name="_Toc105389203"/>
      <w:bookmarkStart w:id="8" w:name="_Toc3785675"/>
      <w:bookmarkStart w:id="9" w:name="_Toc54513051"/>
      <w:bookmarkStart w:id="10" w:name="_Toc35941127"/>
      <w:bookmarkStart w:id="11" w:name="_Toc108257590"/>
      <w:bookmarkStart w:id="12" w:name="_Toc3785637"/>
      <w:bookmarkStart w:id="13" w:name="_Toc35222536"/>
      <w:bookmarkStart w:id="14" w:name="_Toc98672988"/>
      <w:bookmarkStart w:id="15" w:name="_Toc36123671"/>
      <w:bookmarkStart w:id="16" w:name="_Toc108257397"/>
      <w:bookmarkStart w:id="17" w:name="_Toc60130052"/>
      <w:bookmarkStart w:id="18" w:name="_Toc35107772"/>
      <w:bookmarkStart w:id="19" w:name="_Toc53335577"/>
      <w:bookmarkStart w:id="20" w:name="_Toc34745149"/>
      <w:bookmarkStart w:id="21" w:name="_Toc33775520"/>
      <w:bookmarkStart w:id="22" w:name="_Toc34789935"/>
      <w:bookmarkStart w:id="23" w:name="_Toc108260365"/>
      <w:bookmarkStart w:id="24" w:name="_Toc35068743"/>
      <w:bookmarkStart w:id="25" w:name="_Toc33953164"/>
      <w:bookmarkStart w:id="26" w:name="_Toc3785461"/>
      <w:bookmarkStart w:id="27" w:name="_Toc98731630"/>
      <w:bookmarkStart w:id="28" w:name="_Toc93397984"/>
      <w:bookmarkStart w:id="29" w:name="_Toc35071897"/>
      <w:bookmarkStart w:id="30" w:name="_Toc40761347"/>
      <w:bookmarkStart w:id="31" w:name="_Toc87857945"/>
      <w:bookmarkStart w:id="32" w:name="_Toc93397582"/>
      <w:bookmarkStart w:id="33" w:name="_Toc35599967"/>
      <w:bookmarkStart w:id="34" w:name="_Toc425276503"/>
      <w:bookmarkStart w:id="35" w:name="_Toc34703823"/>
      <w:bookmarkStart w:id="36" w:name="_Toc3785513"/>
      <w:bookmarkStart w:id="37" w:name="_Toc36146204"/>
      <w:bookmarkStart w:id="38" w:name="_Toc34664278"/>
      <w:bookmarkStart w:id="39" w:name="_Toc53570175"/>
      <w:bookmarkStart w:id="40" w:name="_Toc35742634"/>
      <w:bookmarkStart w:id="41" w:name="_Toc108257466"/>
      <w:r>
        <w:rPr>
          <w:rFonts w:hint="eastAsia" w:ascii="宋体" w:hAnsi="宋体"/>
          <w:i w:val="0"/>
          <w:iCs w:val="0"/>
          <w:color w:val="auto"/>
          <w:sz w:val="24"/>
          <w:szCs w:val="24"/>
          <w:highlight w:val="none"/>
          <w:u w:val="single"/>
          <w:lang w:val="en-US" w:eastAsia="zh-CN"/>
        </w:rPr>
        <w:t xml:space="preserve"> 泉州师范学院 教务处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QZTCJWC2025002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bookmarkStart w:id="42" w:name="OLE_LINK2"/>
      <w:r>
        <w:rPr>
          <w:rFonts w:hint="eastAsia" w:ascii="宋体" w:hAnsi="宋体" w:eastAsia="宋体" w:cs="宋体"/>
          <w:color w:val="auto"/>
          <w:sz w:val="24"/>
          <w:u w:val="single"/>
        </w:rPr>
        <w:t>分布式无线扩声系统</w:t>
      </w:r>
      <w:bookmarkEnd w:id="42"/>
      <w:r>
        <w:rPr>
          <w:rFonts w:hint="eastAsia" w:ascii="宋体" w:hAnsi="宋体"/>
          <w:b w:val="0"/>
          <w:bCs/>
          <w:color w:val="auto"/>
          <w:sz w:val="24"/>
          <w:szCs w:val="24"/>
          <w:highlight w:val="none"/>
          <w:u w:val="single"/>
          <w:lang w:val="en-US" w:eastAsia="zh-CN"/>
        </w:rPr>
        <w:t xml:space="preserve">            </w:t>
      </w:r>
    </w:p>
    <w:p>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w:t>
      </w:r>
      <w:r>
        <w:rPr>
          <w:rFonts w:hint="eastAsia" w:ascii="宋体" w:hAnsi="宋体" w:eastAsia="宋体" w:cs="Times New Roman"/>
          <w:color w:val="auto"/>
          <w:kern w:val="2"/>
          <w:sz w:val="24"/>
          <w:szCs w:val="24"/>
          <w:highlight w:val="none"/>
          <w:u w:val="single"/>
          <w:lang w:val="en-US" w:eastAsia="zh-CN" w:bidi="ar-SA"/>
        </w:rPr>
        <w:t xml:space="preserve">90000.00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3" w:name="_Toc13469"/>
      <w:bookmarkStart w:id="44" w:name="_Toc26626"/>
      <w:bookmarkStart w:id="45" w:name="_Toc491700004"/>
      <w:r>
        <w:rPr>
          <w:rFonts w:hint="eastAsia" w:ascii="宋体" w:hAnsi="宋体" w:eastAsia="宋体" w:cs="Times New Roman"/>
          <w:color w:val="auto"/>
          <w:kern w:val="2"/>
          <w:sz w:val="24"/>
          <w:szCs w:val="24"/>
          <w:highlight w:val="none"/>
          <w:lang w:val="en-US" w:eastAsia="zh-CN" w:bidi="ar-SA"/>
        </w:rPr>
        <w:t>采购需求</w:t>
      </w:r>
      <w:bookmarkEnd w:id="43"/>
      <w:bookmarkEnd w:id="44"/>
      <w:bookmarkEnd w:id="45"/>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bookmarkStart w:id="46" w:name="OLE_LINK1"/>
            <w:r>
              <w:rPr>
                <w:rFonts w:hint="eastAsia" w:ascii="宋体" w:hAnsi="宋体" w:eastAsia="宋体" w:cs="宋体"/>
                <w:color w:val="auto"/>
                <w:sz w:val="24"/>
                <w:u w:val="none"/>
              </w:rPr>
              <w:t>分布式无线扩声系统</w:t>
            </w:r>
            <w:bookmarkEnd w:id="46"/>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20套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90000.00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荣茂综合楼204</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胡老师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059522669252</w:t>
      </w:r>
      <w:r>
        <w:rPr>
          <w:rFonts w:hint="eastAsia" w:ascii="宋体" w:hAnsi="宋体" w:cs="宋体"/>
          <w:color w:val="auto"/>
          <w:sz w:val="24"/>
          <w:szCs w:val="24"/>
          <w:u w:val="single"/>
          <w:lang w:val="en-US" w:eastAsia="zh-CN"/>
        </w:rPr>
        <w:t xml:space="preserve">        </w:t>
      </w:r>
      <w:r>
        <w:rPr>
          <w:rFonts w:hint="eastAsia" w:ascii="宋体" w:hAnsi="宋体" w:cs="宋体"/>
          <w:color w:val="auto"/>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7" w:name="_Toc4126"/>
      <w:bookmarkStart w:id="48"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7"/>
      <w:bookmarkEnd w:id="48"/>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w:t>
            </w:r>
            <w:r>
              <w:rPr>
                <w:rFonts w:hint="eastAsia" w:ascii="宋体" w:hAnsi="宋体"/>
                <w:i w:val="0"/>
                <w:iCs w:val="0"/>
                <w:color w:val="auto"/>
                <w:sz w:val="24"/>
                <w:szCs w:val="24"/>
                <w:highlight w:val="none"/>
                <w:u w:val="single"/>
                <w:lang w:val="en-US" w:eastAsia="zh-CN"/>
              </w:rPr>
              <w:t>泉州师范学院教务处</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9" w:name="_Toc4338"/>
      <w:bookmarkStart w:id="50" w:name="_Toc5918"/>
      <w:bookmarkStart w:id="51" w:name="_Toc12454"/>
    </w:p>
    <w:p>
      <w:pPr>
        <w:rPr>
          <w:rFonts w:hint="eastAsia"/>
          <w:lang w:val="en-US" w:eastAsia="zh-CN"/>
        </w:rPr>
      </w:pPr>
    </w:p>
    <w:bookmarkEnd w:id="49"/>
    <w:bookmarkEnd w:id="50"/>
    <w:bookmarkEnd w:id="51"/>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2" w:name="_Toc1931"/>
      <w:bookmarkStart w:id="53" w:name="_Toc34"/>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pStyle w:val="2"/>
        <w:keepNext w:val="0"/>
        <w:keepLines w:val="0"/>
        <w:pageBreakBefore w:val="0"/>
        <w:widowControl w:val="0"/>
        <w:kinsoku/>
        <w:wordWrap/>
        <w:overflowPunct/>
        <w:topLinePunct w:val="0"/>
        <w:autoSpaceDE w:val="0"/>
        <w:autoSpaceDN w:val="0"/>
        <w:bidi w:val="0"/>
        <w:adjustRightInd w:val="0"/>
        <w:snapToGrid/>
        <w:spacing w:after="157" w:afterLines="50"/>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rPr>
        <w:t>分布式</w:t>
      </w:r>
      <w:bookmarkStart w:id="54" w:name="OLE_LINK3"/>
      <w:r>
        <w:rPr>
          <w:rFonts w:hint="eastAsia" w:ascii="宋体" w:hAnsi="宋体" w:eastAsia="宋体" w:cs="宋体"/>
          <w:color w:val="auto"/>
          <w:sz w:val="24"/>
          <w:u w:val="none"/>
        </w:rPr>
        <w:t>无线扩声系统</w:t>
      </w:r>
      <w:bookmarkEnd w:id="54"/>
      <w:r>
        <w:rPr>
          <w:rFonts w:hint="eastAsia" w:ascii="宋体" w:hAnsi="宋体" w:eastAsia="宋体" w:cs="宋体"/>
          <w:color w:val="auto"/>
          <w:sz w:val="24"/>
          <w:u w:val="none"/>
          <w:lang w:val="en-US" w:eastAsia="zh-CN"/>
        </w:rPr>
        <w:t>应具备高稳定的音频传输能力，确保在复杂环境下（如存在电磁干扰、高频驱动光源等）仍能正常工作，音频信号无明显中断、丢包或失真现象；应与常见的音频设备（如调音台、功放、扬声器等）具有良好的兼容性，能够无缝接入学校多媒体教室现有的扩声系统（学校多媒体教室现有功放型号：ITC T-67120、ITC T-6705BG、ITC T-67120D、ITC T-6705BM）。</w:t>
      </w:r>
      <w:r>
        <w:rPr>
          <w:rFonts w:hint="eastAsia" w:ascii="宋体" w:hAnsi="宋体" w:eastAsia="宋体" w:cs="宋体"/>
          <w:color w:val="auto"/>
          <w:sz w:val="24"/>
          <w:u w:val="none"/>
        </w:rPr>
        <w:t>分布式无线扩声系统</w:t>
      </w:r>
      <w:r>
        <w:rPr>
          <w:rFonts w:hint="eastAsia" w:ascii="宋体" w:hAnsi="宋体" w:eastAsia="宋体" w:cs="宋体"/>
          <w:color w:val="auto"/>
          <w:sz w:val="24"/>
          <w:u w:val="none"/>
          <w:lang w:val="en-US" w:eastAsia="zh-CN"/>
        </w:rPr>
        <w:t>详细技术参数如下：</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0"/>
        <w:gridCol w:w="1868"/>
        <w:gridCol w:w="7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9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品目</w:t>
            </w:r>
          </w:p>
        </w:tc>
        <w:tc>
          <w:tcPr>
            <w:tcW w:w="366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jc w:val="center"/>
        </w:trPr>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w:t>
            </w:r>
          </w:p>
        </w:tc>
        <w:tc>
          <w:tcPr>
            <w:tcW w:w="9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无线接收主机</w:t>
            </w:r>
          </w:p>
        </w:tc>
        <w:tc>
          <w:tcPr>
            <w:tcW w:w="36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1、支持两只话筒同时使用，通过与底座配合无须手动对频，实现拿起话筒自动连接；</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2、采用DSP音频处理芯片，线路、话筒采用独立通道，双通道音效支持独立控制；具备连接成功提示音；</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3、RJ45≥1路，可以连接智能底座实现红外信号接收以及鹅颈麦克风声音的输入，（提供设备参数功能的彩页作为佐证，加盖原厂公章）。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4、支持音乐音量、鹅颈话筒音量、不少于两路无线话筒音量，共不少于四路音量独立调节，（提供设备参数功能的彩页作为佐证，加盖原厂公章）。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5、≥1组话筒输入；≥1组话筒输出；≥1组线路输入；≥1组线路输出；≥1路IR，1路USB接口；（提供设备参数功能的彩页作为佐证，加盖原厂公章）。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6、频响范围：20Hz-20KHz；信噪比：≥85db；灵敏度：≥85dB；</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7、电源：DC/12V1Ａ；</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8、保护类型：过温保护、过载保护、话筒瞬间过击保护。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jc w:val="center"/>
        </w:trPr>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3</w:t>
            </w:r>
          </w:p>
        </w:tc>
        <w:tc>
          <w:tcPr>
            <w:tcW w:w="9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手持麦克风</w:t>
            </w:r>
          </w:p>
        </w:tc>
        <w:tc>
          <w:tcPr>
            <w:tcW w:w="36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1、麦克风工作方式：红外(波长≥900nm)对频，采用360°环形红外发射窗，UHF传输音频；</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2、麦克风手持式圆柱体形状设计，金属网罩，内置高灵敏度电容式驻极体拾音头，拾音距离≥20cm；</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3、麦克风采用≥4个轻触式物理按键，可同时支持激光教鞭、PPT翻页功能以及音量大小调节，（提供设备参数功能的彩页作为佐证，加盖原厂公章）。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4、麦克风具有高清数码管显示电池电量以及音量大小，清晰掌握续航应用状态，具有一键静音的功能，满足互动教学，（提供设备参数功能的彩页作为佐证，加盖原厂公章）。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5、麦克风内置陀螺仪，平放桌面短时间自动静音，拿起激活使用，长时间不使用麦克风自动关机；</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6、麦克风具备自动询码记忆工作模式，开机自动搜索最后一次连接记录，自动连接，无需再通过红外对码连接；</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7、多麦克风使用时，具有后进先出模式功能，无需关闭使用中的话筒可强行切入使用，师生课堂互动更灵活；</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8、1节AA （3.7V）可充电可拆卸锂电池，5号电池大小，用户可自行更换，方便维护；</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9、充电方式：支持两种充电方式：磁吸底座充或外接磁吸充电器充电。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4</w:t>
            </w:r>
          </w:p>
        </w:tc>
        <w:tc>
          <w:tcPr>
            <w:tcW w:w="9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充电底座</w:t>
            </w:r>
          </w:p>
        </w:tc>
        <w:tc>
          <w:tcPr>
            <w:tcW w:w="36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1、集成红外对频模块，无需外接天线、外置红外模块或者接触式设备，固定环境使用的麦克风可实现拿起话筒自动开机并连接；</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 xml:space="preserve">2、具备机械锁,可通过微信扫码、刷卡或连接中控实现话筒管理，以上均需获取权限才可操作，无权限者无法解锁话筒；       </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 xml:space="preserve">3、2路无线麦克风同时充电，即插即充；可支持手持和颈挂话筒，两支不同形式的话筒可任意搭配；    </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 xml:space="preserve">4、话筒充电底槽座具有贯穿底部的防尘装置，有效避免长时间使用粉笔灰、粉尘堆积难清理问题；                                                               </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5、底座自带红外手势感应解锁功能：当底座通过权限解锁后，伸手即实现磁锁吸回功能，无需按物理按键取话筒，实现即用即取的功能；</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6、集成可选长度的鹅颈话筒，并具备单独的开关按钮，可实现≥3路话筒同时使用，（提供设备参数功能的彩页作为佐证，加盖原厂公章）。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7、≥3路RJ45口，其中一路用于传输鹅颈麦克风的声音，（提供设备参数功能的彩页作为佐证，加盖原厂公章）。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8、2路麦克风插槽周围具有充电指示灯环，绿色表示充满或者未充电；红色表示正在充电，（提供设备参数功能的彩页作为佐证，加盖原厂公章）。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9、底座自带TFT彩屏，可清晰掌握每路充电仓的充电状态、机械锁的开合状态，（提供设备参数功能的彩页作为佐证，加盖原厂公章）。</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10、对不关话筒的情况下可以自动断开内部电路并进行充电，实现即放即充的功能；</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11、能自动识别是否是充电电池，检测到非充电电池会自动断电保护</w:t>
            </w:r>
          </w:p>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12、底座可单独通过网络进行管理，也可与第三方中控主机进行联动管理。配合管理平台，可远程控制底座的开锁/闭锁，且通过网络，平台可直观显示话筒的在线，离线，充电等多种状态，（提供设备参数功能的彩页作为佐证，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2" w:hRule="atLeast"/>
          <w:jc w:val="center"/>
        </w:trPr>
        <w:tc>
          <w:tcPr>
            <w:tcW w:w="3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5</w:t>
            </w:r>
          </w:p>
        </w:tc>
        <w:tc>
          <w:tcPr>
            <w:tcW w:w="95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鹅颈话筒</w:t>
            </w:r>
          </w:p>
        </w:tc>
        <w:tc>
          <w:tcPr>
            <w:tcW w:w="36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1、类型：膜片式（背极）；</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2、指向性:心形；</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 xml:space="preserve">3、灵敏度：-45dB±3dB； </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4、频率响应：40Hz—20KHz；</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5、输出阻抗：200Ω；</w:t>
            </w:r>
            <w:r>
              <w:rPr>
                <w:rFonts w:hint="eastAsia" w:ascii="宋体" w:hAnsi="宋体" w:eastAsia="宋体" w:cs="宋体"/>
                <w:color w:val="auto"/>
                <w:kern w:val="0"/>
                <w:sz w:val="24"/>
                <w:szCs w:val="24"/>
                <w:u w:val="none"/>
                <w:lang w:val="en-US" w:eastAsia="zh-CN" w:bidi="ar-SA"/>
              </w:rPr>
              <w:br w:type="textWrapping"/>
            </w:r>
            <w:r>
              <w:rPr>
                <w:rFonts w:hint="eastAsia" w:ascii="宋体" w:hAnsi="宋体" w:eastAsia="宋体" w:cs="宋体"/>
                <w:color w:val="auto"/>
                <w:kern w:val="0"/>
                <w:sz w:val="24"/>
                <w:szCs w:val="24"/>
                <w:u w:val="none"/>
                <w:lang w:val="en-US" w:eastAsia="zh-CN" w:bidi="ar-SA"/>
              </w:rPr>
              <w:t>6、信噪比：＞70dB (A48计权)；</w:t>
            </w:r>
          </w:p>
        </w:tc>
      </w:tr>
    </w:tbl>
    <w:p>
      <w:pPr>
        <w:pStyle w:val="2"/>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宋体" w:hAnsi="宋体" w:eastAsia="宋体" w:cs="宋体"/>
          <w:color w:val="auto"/>
          <w:sz w:val="24"/>
          <w:u w:val="none"/>
          <w:lang w:val="en-US" w:eastAsia="zh-CN"/>
        </w:rPr>
      </w:pPr>
    </w:p>
    <w:p>
      <w:pPr>
        <w:pStyle w:val="2"/>
        <w:rPr>
          <w:rFonts w:hint="eastAsia" w:ascii="Times New Roman" w:hAnsi="宋体" w:eastAsia="宋体" w:cs="Times New Roman"/>
          <w:color w:val="auto"/>
          <w:kern w:val="2"/>
          <w:sz w:val="24"/>
          <w:szCs w:val="24"/>
          <w:lang w:val="en-US" w:eastAsia="zh-CN" w:bidi="ar-SA"/>
        </w:rPr>
      </w:pPr>
    </w:p>
    <w:p>
      <w:pPr>
        <w:pStyle w:val="2"/>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1.以上技术参数均为基本要求，不允许负偏离，否则视为无效投标。</w:t>
      </w:r>
    </w:p>
    <w:p>
      <w:pPr>
        <w:pStyle w:val="2"/>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2.询价时投标人需提供样机供采购人现场做集成兼容性测试，否则视为无效投标。</w:t>
      </w:r>
    </w:p>
    <w:p>
      <w:pPr>
        <w:pStyle w:val="2"/>
        <w:rPr>
          <w:rFonts w:hint="default" w:ascii="Times New Roman" w:hAnsi="宋体" w:eastAsia="宋体" w:cs="Times New Roman"/>
          <w:color w:val="auto"/>
          <w:kern w:val="2"/>
          <w:sz w:val="24"/>
          <w:szCs w:val="24"/>
          <w:lang w:val="en-US" w:eastAsia="zh-CN" w:bidi="ar-SA"/>
        </w:rPr>
      </w:pPr>
    </w:p>
    <w:p>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auto"/>
          <w:sz w:val="24"/>
          <w:lang w:val="en-US" w:eastAsia="zh-CN"/>
        </w:rPr>
      </w:pPr>
      <w:bookmarkStart w:id="55" w:name="_Toc358109805"/>
      <w:bookmarkStart w:id="56" w:name="_Toc394319916"/>
      <w:bookmarkStart w:id="57" w:name="_Toc478753855"/>
      <w:bookmarkStart w:id="58" w:name="_Toc57451666"/>
      <w:bookmarkStart w:id="59" w:name="_Toc425276504"/>
      <w:bookmarkStart w:id="60"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5"/>
    <w:bookmarkEnd w:id="56"/>
    <w:p>
      <w:pPr>
        <w:spacing w:line="440" w:lineRule="exact"/>
        <w:ind w:firstLine="480" w:firstLineChars="200"/>
        <w:rPr>
          <w:rFonts w:hint="eastAsia" w:hAnsi="宋体" w:eastAsia="宋体"/>
          <w:color w:val="auto"/>
          <w:sz w:val="24"/>
          <w:lang w:val="en-US" w:eastAsia="zh-CN"/>
        </w:rPr>
      </w:pPr>
      <w:bookmarkStart w:id="61" w:name="_Toc430269118"/>
      <w:bookmarkStart w:id="62" w:name="_Toc358109807"/>
      <w:bookmarkStart w:id="63" w:name="_Toc430269287"/>
      <w:bookmarkStart w:id="64" w:name="_Toc491700052"/>
      <w:bookmarkStart w:id="65" w:name="_Toc394319918"/>
      <w:bookmarkStart w:id="66" w:name="_Toc285393068"/>
      <w:bookmarkStart w:id="67" w:name="_Toc394319917"/>
      <w:bookmarkStart w:id="68"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61"/>
    <w:bookmarkEnd w:id="62"/>
    <w:bookmarkEnd w:id="63"/>
    <w:bookmarkEnd w:id="64"/>
    <w:bookmarkEnd w:id="65"/>
    <w:bookmarkEnd w:id="66"/>
    <w:p>
      <w:pPr>
        <w:spacing w:line="440" w:lineRule="exact"/>
        <w:ind w:firstLine="480" w:firstLineChars="200"/>
        <w:rPr>
          <w:rFonts w:hint="eastAsia" w:hAnsi="宋体"/>
          <w:b/>
          <w:bCs/>
          <w:color w:val="auto"/>
          <w:sz w:val="24"/>
        </w:rPr>
      </w:pPr>
      <w:bookmarkStart w:id="69"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5</w:t>
      </w:r>
      <w:r>
        <w:rPr>
          <w:rFonts w:hint="default" w:ascii="宋体" w:hAnsi="宋体"/>
          <w:color w:val="auto"/>
          <w:sz w:val="24"/>
          <w:lang w:val="en-US" w:eastAsia="zh-CN"/>
        </w:rPr>
        <w:t>) 天内</w:t>
      </w:r>
      <w:r>
        <w:rPr>
          <w:rFonts w:hint="eastAsia" w:ascii="宋体" w:hAnsi="宋体"/>
          <w:color w:val="auto"/>
          <w:sz w:val="24"/>
          <w:lang w:val="en-US" w:eastAsia="zh-CN"/>
        </w:rPr>
        <w:t>交付使用</w:t>
      </w:r>
      <w:r>
        <w:rPr>
          <w:rFonts w:hint="default" w:ascii="宋体" w:hAnsi="宋体"/>
          <w:color w:val="auto"/>
          <w:sz w:val="24"/>
          <w:lang w:val="en-US" w:eastAsia="zh-CN"/>
        </w:rPr>
        <w:t>。</w:t>
      </w:r>
    </w:p>
    <w:p>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7"/>
    <w:bookmarkEnd w:id="58"/>
    <w:bookmarkEnd w:id="59"/>
    <w:bookmarkEnd w:id="60"/>
    <w:bookmarkEnd w:id="67"/>
    <w:bookmarkEnd w:id="68"/>
    <w:bookmarkEnd w:id="69"/>
    <w:p>
      <w:pPr>
        <w:spacing w:line="440" w:lineRule="exact"/>
        <w:ind w:firstLine="480" w:firstLineChars="200"/>
        <w:rPr>
          <w:rFonts w:hint="eastAsia" w:ascii="宋体" w:hAnsi="宋体"/>
          <w:b/>
          <w:color w:val="FF0000"/>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2"/>
    <w:bookmarkEnd w:id="53"/>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70" w:name="_Toc1683"/>
      <w:r>
        <w:rPr>
          <w:rFonts w:hint="eastAsia" w:ascii="宋体" w:hAnsi="宋体" w:eastAsia="宋体"/>
          <w:color w:val="auto"/>
          <w:szCs w:val="32"/>
          <w:highlight w:val="none"/>
        </w:rPr>
        <w:br w:type="page"/>
      </w:r>
      <w:bookmarkStart w:id="71" w:name="_Toc25197"/>
      <w:bookmarkStart w:id="72"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70"/>
      <w:bookmarkEnd w:id="71"/>
      <w:bookmarkEnd w:id="72"/>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3" w:name="_Toc12112"/>
      <w:bookmarkStart w:id="74" w:name="_Toc1376"/>
      <w:bookmarkStart w:id="75" w:name="_Toc14215"/>
      <w:bookmarkStart w:id="76" w:name="_Toc29646"/>
      <w:bookmarkStart w:id="77" w:name="_Toc1606"/>
      <w:bookmarkStart w:id="78" w:name="_Toc432513145"/>
      <w:bookmarkStart w:id="79" w:name="_Toc393727156"/>
      <w:bookmarkStart w:id="80" w:name="_Toc372013039"/>
      <w:bookmarkStart w:id="81" w:name="_Toc373141305"/>
      <w:bookmarkStart w:id="82"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3"/>
      <w:bookmarkEnd w:id="74"/>
      <w:bookmarkEnd w:id="75"/>
      <w:bookmarkEnd w:id="76"/>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7"/>
      <w:bookmarkEnd w:id="78"/>
      <w:bookmarkEnd w:id="79"/>
      <w:bookmarkEnd w:id="80"/>
      <w:bookmarkEnd w:id="81"/>
      <w:bookmarkEnd w:id="82"/>
      <w:bookmarkStart w:id="83" w:name="_Toc13976"/>
      <w:bookmarkStart w:id="84" w:name="_Toc4358"/>
      <w:bookmarkStart w:id="85" w:name="_Toc20566"/>
      <w:bookmarkStart w:id="86" w:name="_Toc26916"/>
      <w:r>
        <w:rPr>
          <w:rFonts w:hint="eastAsia" w:ascii="宋体" w:hAnsi="宋体" w:eastAsia="宋体" w:cs="宋体"/>
          <w:b/>
          <w:color w:val="auto"/>
          <w:sz w:val="28"/>
          <w:szCs w:val="28"/>
          <w:highlight w:val="none"/>
        </w:rPr>
        <w:t>格式2                       报价一览表</w:t>
      </w:r>
      <w:bookmarkEnd w:id="83"/>
      <w:bookmarkEnd w:id="84"/>
      <w:bookmarkEnd w:id="85"/>
      <w:bookmarkEnd w:id="86"/>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7" w:name="_Toc477899480"/>
    </w:p>
    <w:p>
      <w:pPr>
        <w:spacing w:line="400" w:lineRule="exact"/>
        <w:outlineLvl w:val="0"/>
        <w:rPr>
          <w:rFonts w:hint="eastAsia" w:ascii="宋体" w:hAnsi="宋体"/>
          <w:b/>
          <w:color w:val="auto"/>
          <w:sz w:val="24"/>
          <w:highlight w:val="none"/>
        </w:rPr>
      </w:pPr>
      <w:bookmarkStart w:id="88" w:name="_Toc12436"/>
      <w:bookmarkStart w:id="89"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7"/>
      <w:bookmarkEnd w:id="88"/>
      <w:bookmarkEnd w:id="89"/>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90" w:name="_Toc102"/>
      <w:bookmarkStart w:id="91" w:name="_Toc24037"/>
      <w:bookmarkStart w:id="92" w:name="_Toc24019"/>
      <w:bookmarkStart w:id="93" w:name="_Toc29026"/>
      <w:bookmarkStart w:id="94" w:name="_Toc502907895"/>
      <w:bookmarkStart w:id="95" w:name="_Toc145132116"/>
      <w:bookmarkStart w:id="96" w:name="_Toc373141312"/>
      <w:bookmarkStart w:id="97" w:name="_Toc432513149"/>
      <w:bookmarkStart w:id="98" w:name="_Toc372013046"/>
      <w:bookmarkStart w:id="99" w:name="_Toc393727163"/>
      <w:bookmarkStart w:id="100" w:name="_Toc23010"/>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90"/>
      <w:bookmarkEnd w:id="91"/>
      <w:bookmarkEnd w:id="92"/>
      <w:bookmarkEnd w:id="93"/>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4"/>
    <w:bookmarkEnd w:id="95"/>
    <w:bookmarkEnd w:id="96"/>
    <w:bookmarkEnd w:id="97"/>
    <w:bookmarkEnd w:id="98"/>
    <w:bookmarkEnd w:id="99"/>
    <w:bookmarkEnd w:id="100"/>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101" w:name="_Toc15327"/>
      <w:bookmarkStart w:id="102" w:name="_Toc30609"/>
      <w:bookmarkStart w:id="103" w:name="_Toc13141"/>
      <w:bookmarkStart w:id="104"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101"/>
      <w:bookmarkEnd w:id="102"/>
      <w:bookmarkEnd w:id="103"/>
      <w:bookmarkEnd w:id="104"/>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WUzMjkxNWVlMzliODI1NzBjMjU2MGQ0MjljY2EifQ=="/>
  </w:docVars>
  <w:rsids>
    <w:rsidRoot w:val="59835B2E"/>
    <w:rsid w:val="025920CC"/>
    <w:rsid w:val="034E4A21"/>
    <w:rsid w:val="039753F3"/>
    <w:rsid w:val="083B0126"/>
    <w:rsid w:val="08493DEA"/>
    <w:rsid w:val="0E2055ED"/>
    <w:rsid w:val="0E8D13D6"/>
    <w:rsid w:val="0F44355D"/>
    <w:rsid w:val="115376E2"/>
    <w:rsid w:val="140908A2"/>
    <w:rsid w:val="1537146E"/>
    <w:rsid w:val="16F7028D"/>
    <w:rsid w:val="173A664E"/>
    <w:rsid w:val="17C3509D"/>
    <w:rsid w:val="1BCD078D"/>
    <w:rsid w:val="1C4B3D8B"/>
    <w:rsid w:val="1D974856"/>
    <w:rsid w:val="1DD464FF"/>
    <w:rsid w:val="21104677"/>
    <w:rsid w:val="249C183C"/>
    <w:rsid w:val="25A0096A"/>
    <w:rsid w:val="292E6AB2"/>
    <w:rsid w:val="299802D6"/>
    <w:rsid w:val="29AD768A"/>
    <w:rsid w:val="2A8548EF"/>
    <w:rsid w:val="2B2A31B0"/>
    <w:rsid w:val="2C261412"/>
    <w:rsid w:val="2C293467"/>
    <w:rsid w:val="2CEB06B4"/>
    <w:rsid w:val="2F775342"/>
    <w:rsid w:val="30A63D09"/>
    <w:rsid w:val="30EC4E63"/>
    <w:rsid w:val="315076E8"/>
    <w:rsid w:val="32FB2F01"/>
    <w:rsid w:val="33C33694"/>
    <w:rsid w:val="363D414B"/>
    <w:rsid w:val="3643461A"/>
    <w:rsid w:val="372D1C56"/>
    <w:rsid w:val="38641F41"/>
    <w:rsid w:val="3B1925BB"/>
    <w:rsid w:val="3B6C1D7D"/>
    <w:rsid w:val="3D6737E8"/>
    <w:rsid w:val="3E002010"/>
    <w:rsid w:val="3F2E1764"/>
    <w:rsid w:val="44FA7C3F"/>
    <w:rsid w:val="451F1798"/>
    <w:rsid w:val="45C50B81"/>
    <w:rsid w:val="488F069E"/>
    <w:rsid w:val="4A8113F1"/>
    <w:rsid w:val="4C1307C4"/>
    <w:rsid w:val="4C2E1607"/>
    <w:rsid w:val="4C65575F"/>
    <w:rsid w:val="4C9808FB"/>
    <w:rsid w:val="4E487C6D"/>
    <w:rsid w:val="4F123E7A"/>
    <w:rsid w:val="4FE109E3"/>
    <w:rsid w:val="505C278E"/>
    <w:rsid w:val="511527F6"/>
    <w:rsid w:val="52C96DD4"/>
    <w:rsid w:val="55794C66"/>
    <w:rsid w:val="55CD64D1"/>
    <w:rsid w:val="55D751F9"/>
    <w:rsid w:val="574014E1"/>
    <w:rsid w:val="59835B2E"/>
    <w:rsid w:val="5A874E04"/>
    <w:rsid w:val="5AE34496"/>
    <w:rsid w:val="5CC35640"/>
    <w:rsid w:val="5D654BBF"/>
    <w:rsid w:val="5D7027B5"/>
    <w:rsid w:val="5E0958F1"/>
    <w:rsid w:val="5F487ACD"/>
    <w:rsid w:val="607C050A"/>
    <w:rsid w:val="67746F85"/>
    <w:rsid w:val="677F3E55"/>
    <w:rsid w:val="68735896"/>
    <w:rsid w:val="69690D6B"/>
    <w:rsid w:val="6B7D3D34"/>
    <w:rsid w:val="6C015CF2"/>
    <w:rsid w:val="6D3F5C0C"/>
    <w:rsid w:val="6E3B0AE0"/>
    <w:rsid w:val="6E9A7D81"/>
    <w:rsid w:val="6ECE6718"/>
    <w:rsid w:val="6F996E27"/>
    <w:rsid w:val="718F5027"/>
    <w:rsid w:val="726C6FA6"/>
    <w:rsid w:val="731E2BC7"/>
    <w:rsid w:val="736C78EA"/>
    <w:rsid w:val="73D2014D"/>
    <w:rsid w:val="77385F6C"/>
    <w:rsid w:val="780B365B"/>
    <w:rsid w:val="78DD47D4"/>
    <w:rsid w:val="797352EE"/>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rPr>
      <w:rFonts w:ascii="Calibri" w:hAnsi="Calibri" w:cs="Times New Roman"/>
    </w:rPr>
  </w:style>
  <w:style w:type="paragraph" w:styleId="8">
    <w:name w:val="Body Text Indent"/>
    <w:basedOn w:val="1"/>
    <w:autoRedefine/>
    <w:qFormat/>
    <w:uiPriority w:val="0"/>
    <w:pPr>
      <w:ind w:firstLine="560" w:firstLineChars="200"/>
    </w:pPr>
    <w:rPr>
      <w:rFonts w:ascii="宋体" w:hAnsi="宋体"/>
      <w:sz w:val="28"/>
    </w:rPr>
  </w:style>
  <w:style w:type="paragraph" w:styleId="9">
    <w:name w:val="Date"/>
    <w:basedOn w:val="1"/>
    <w:next w:val="1"/>
    <w:autoRedefine/>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Black" w:hAnsi="Arial Black" w:cs="Arial Black"/>
      <w:i/>
      <w:iCs/>
      <w:kern w:val="2"/>
      <w:sz w:val="48"/>
      <w:szCs w:val="48"/>
    </w:rPr>
  </w:style>
  <w:style w:type="paragraph" w:styleId="16">
    <w:name w:val="annotation subject"/>
    <w:basedOn w:val="6"/>
    <w:next w:val="6"/>
    <w:autoRedefine/>
    <w:qFormat/>
    <w:uiPriority w:val="0"/>
    <w:rPr>
      <w:rFonts w:ascii="宋体" w:hAnsi="Courier New"/>
      <w:szCs w:val="20"/>
    </w:rPr>
  </w:style>
  <w:style w:type="paragraph" w:styleId="17">
    <w:name w:val="Body Text First Indent"/>
    <w:basedOn w:val="7"/>
    <w:autoRedefine/>
    <w:unhideWhenUsed/>
    <w:qFormat/>
    <w:uiPriority w:val="0"/>
    <w:pPr>
      <w:ind w:firstLine="420" w:firstLineChars="100"/>
    </w:pPr>
  </w:style>
  <w:style w:type="paragraph" w:styleId="18">
    <w:name w:val="Body Text First Indent 2"/>
    <w:basedOn w:val="8"/>
    <w:autoRedefine/>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character" w:customStyle="1" w:styleId="27">
    <w:name w:val="font01"/>
    <w:basedOn w:val="20"/>
    <w:uiPriority w:val="0"/>
    <w:rPr>
      <w:rFonts w:hint="eastAsia" w:ascii="宋体" w:hAnsi="宋体" w:eastAsia="宋体" w:cs="宋体"/>
      <w:color w:val="000000"/>
      <w:sz w:val="22"/>
      <w:szCs w:val="22"/>
      <w:u w:val="none"/>
    </w:rPr>
  </w:style>
  <w:style w:type="character" w:customStyle="1" w:styleId="28">
    <w:name w:val="font31"/>
    <w:basedOn w:val="20"/>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8013</Words>
  <Characters>8281</Characters>
  <Lines>0</Lines>
  <Paragraphs>0</Paragraphs>
  <TotalTime>108</TotalTime>
  <ScaleCrop>false</ScaleCrop>
  <LinksUpToDate>false</LinksUpToDate>
  <CharactersWithSpaces>10121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使用单位</cp:lastModifiedBy>
  <cp:lastPrinted>2021-11-24T07:21:00Z</cp:lastPrinted>
  <dcterms:modified xsi:type="dcterms:W3CDTF">2025-03-25T09:54:43Z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1D74DC218C9B4B4FA60CAE48B8569FF5</vt:lpwstr>
  </property>
</Properties>
</file>