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jc w:val="left"/>
        <w:textAlignment w:val="auto"/>
        <w:rPr>
          <w:rFonts w:ascii="黑体" w:hAnsi="黑体" w:eastAsia="黑体" w:cs="黑体"/>
          <w:kern w:val="0"/>
          <w:sz w:val="30"/>
          <w:szCs w:val="30"/>
        </w:rPr>
      </w:pPr>
      <w:r>
        <w:rPr>
          <w:rFonts w:hint="eastAsia" w:ascii="黑体" w:hAnsi="黑体" w:eastAsia="黑体" w:cs="黑体"/>
          <w:kern w:val="0"/>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hint="eastAsia" w:ascii="方正小标宋简体" w:hAnsi="方正小标宋简体" w:eastAsia="方正小标宋简体" w:cs="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××高校</w:t>
      </w:r>
      <w:r>
        <w:rPr>
          <w:rFonts w:hint="eastAsia" w:ascii="方正小标宋简体" w:hAnsi="方正小标宋简体" w:eastAsia="方正小标宋简体" w:cs="方正小标宋简体"/>
          <w:bCs/>
          <w:color w:val="000000"/>
          <w:sz w:val="44"/>
          <w:szCs w:val="44"/>
        </w:rPr>
        <w:t>202</w:t>
      </w:r>
      <w:r>
        <w:rPr>
          <w:rFonts w:hint="eastAsia" w:ascii="方正小标宋简体" w:hAnsi="方正小标宋简体" w:eastAsia="方正小标宋简体" w:cs="方正小标宋简体"/>
          <w:bCs/>
          <w:color w:val="000000"/>
          <w:sz w:val="44"/>
          <w:szCs w:val="44"/>
          <w:lang w:val="en-US" w:eastAsia="zh-CN"/>
        </w:rPr>
        <w:t>3</w:t>
      </w:r>
      <w:bookmarkStart w:id="0" w:name="_GoBack"/>
      <w:bookmarkEnd w:id="0"/>
      <w:r>
        <w:rPr>
          <w:rFonts w:hint="eastAsia" w:ascii="方正小标宋简体" w:hAnsi="方正小标宋简体" w:eastAsia="方正小标宋简体" w:cs="方正小标宋简体"/>
          <w:bCs/>
          <w:color w:val="000000"/>
          <w:sz w:val="44"/>
          <w:szCs w:val="44"/>
        </w:rPr>
        <w:t>年</w:t>
      </w:r>
      <w:r>
        <w:rPr>
          <w:rFonts w:hint="eastAsia" w:ascii="方正小标宋简体" w:hAnsi="方正小标宋简体" w:eastAsia="方正小标宋简体" w:cs="方正小标宋简体"/>
          <w:bCs/>
          <w:sz w:val="44"/>
          <w:szCs w:val="44"/>
        </w:rPr>
        <w:t>美育发展年度报告</w:t>
      </w:r>
    </w:p>
    <w:p>
      <w:pPr>
        <w:keepNext w:val="0"/>
        <w:keepLines w:val="0"/>
        <w:pageBreakBefore w:val="0"/>
        <w:widowControl w:val="0"/>
        <w:kinsoku/>
        <w:wordWrap/>
        <w:overflowPunct/>
        <w:topLinePunct w:val="0"/>
        <w:autoSpaceDE/>
        <w:autoSpaceDN/>
        <w:bidi w:val="0"/>
        <w:adjustRightInd/>
        <w:snapToGrid/>
        <w:spacing w:line="600" w:lineRule="exact"/>
        <w:ind w:left="0" w:leftChars="0"/>
        <w:jc w:val="center"/>
        <w:textAlignment w:val="auto"/>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框架要点</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一、前言</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概述</w:t>
      </w:r>
      <w:r>
        <w:rPr>
          <w:rFonts w:hint="eastAsia" w:ascii="仿宋_GB2312" w:hAnsi="仿宋_GB2312" w:eastAsia="仿宋_GB2312" w:cs="仿宋_GB2312"/>
          <w:sz w:val="32"/>
          <w:szCs w:val="32"/>
          <w:lang w:eastAsia="zh-CN"/>
        </w:rPr>
        <w:t>本校</w:t>
      </w:r>
      <w:r>
        <w:rPr>
          <w:rFonts w:hint="eastAsia" w:ascii="仿宋_GB2312" w:hAnsi="仿宋_GB2312" w:eastAsia="仿宋_GB2312" w:cs="仿宋_GB2312"/>
          <w:sz w:val="32"/>
          <w:szCs w:val="32"/>
        </w:rPr>
        <w:t>学习贯彻《中共中央办公厅 国务院办公厅关于全面加强和改进新时代学校美育工作的意见》《教育部关于切实加强新时代高等学校美育工作的意见》等美育文件情况；学校办学性质、结构，在校学生、教师总数，校园面积、美育环境等基本信息</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hint="eastAsia" w:ascii="黑体" w:hAnsi="黑体" w:eastAsia="黑体" w:cs="黑体"/>
          <w:sz w:val="32"/>
          <w:szCs w:val="32"/>
        </w:rPr>
      </w:pPr>
      <w:r>
        <w:rPr>
          <w:rFonts w:hint="eastAsia" w:ascii="黑体" w:hAnsi="黑体" w:eastAsia="黑体" w:cs="黑体"/>
          <w:sz w:val="32"/>
          <w:szCs w:val="32"/>
        </w:rPr>
        <w:t>二、美育工作发展概况及亮点工作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简要介绍学校建立健全美育管理机构，完善工作机制，加强工作统筹、决策咨询和评估督导的管理体制与运行机制</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重点陈述学校面向全体学生、当年开设的公共艺术课程与当年开展的艺术展演活动情况，有专业艺术教育与艺术师范教育院系的应同时分别陈述。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黑体" w:hAnsi="黑体" w:eastAsia="黑体" w:cs="黑体"/>
          <w:sz w:val="32"/>
          <w:szCs w:val="32"/>
        </w:rPr>
      </w:pPr>
      <w:r>
        <w:rPr>
          <w:rFonts w:hint="eastAsia" w:ascii="黑体" w:hAnsi="黑体" w:eastAsia="黑体" w:cs="黑体"/>
          <w:sz w:val="32"/>
          <w:szCs w:val="32"/>
        </w:rPr>
        <w:t>三、美育工作发展理念和定位</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（一）人才培养目标定位中的美育规格</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（二）十四五规划中美育专项发展战略</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（三）美育质量保障机制体系</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（四）美育工作发展激励政策</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黑体" w:hAnsi="黑体" w:eastAsia="黑体" w:cs="黑体"/>
          <w:sz w:val="32"/>
          <w:szCs w:val="32"/>
        </w:rPr>
      </w:pPr>
      <w:r>
        <w:rPr>
          <w:rFonts w:hint="eastAsia" w:ascii="黑体" w:hAnsi="黑体" w:eastAsia="黑体" w:cs="黑体"/>
          <w:sz w:val="32"/>
          <w:szCs w:val="32"/>
        </w:rPr>
        <w:t>四、美育工作发展条件</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（一）美育师资队伍建设与水平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美育教师队伍的数量与结构（本报告中的美育师资主要是指全校的编内、人事代理（合同制）美育教师，含音乐、美术、艺术设计、书法、舞蹈、戏剧、戏曲、影视艺术等艺术类专业专职教师；面向全体学生的公共艺术专职教师。校外兼职教师需另外分类表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2.美育教师的专业水平和教学能力（可提供当年度《师生艺术类获奖情况相关统计表》作为依据。）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（二）美育教学与实践资源建设与水平</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 美育教学经费投入及保障机制（美育教学与展演实践活动经费投入数及保障机制文件等）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 美育教育教学资源建设及共享（具体列出现有公共美育实践活动展演专用剧院、音乐厅、排练厅、博物馆、美术馆等艺术场馆类别、间数、面积。）</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3.美育网络资源、平台建设（开发与共享情况、具体数量）。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4.公共艺术课程和美育教材体系开发建设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五、美育培养实施过程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（一）公共艺术课程教学与艺术实践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1.公共艺术课程教学与艺术实践培养方案和教学目标的制订</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2.公共艺术课程与艺术实践的设置及开足开齐情况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3.学生公共艺术课程学习与艺术实践及评价（执行情况，如修满2个学分方能毕业及学分评价考试考核方式）。</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（二）美育实践教学情况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1.艺术展演实践活动的课程化管理。</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2.美育实践基地建设（含开设体现职业教育特点的拓展性艺术课程）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3.有机整合相关学科的美育内容，推进课程教学、社会实践和校园文化建设深度融合、丰富以及创新（含中外、闽台交流学习）</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textAlignment w:val="auto"/>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（三）中华优秀传统文化传承和艺术经典教育及创新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六、美育教学改革情况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（一）美育与其他学科的渗透与融合的案例</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（二）以美育为主题的跨学科教育教学和实践活动的美育协同创新培养模式（含校校、校所、校企和校地协同创新）</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（三）美育科学研究（含智库建设和课程改革等）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黑体" w:hAnsi="黑体" w:eastAsia="黑体" w:cs="黑体"/>
          <w:sz w:val="32"/>
          <w:szCs w:val="32"/>
        </w:rPr>
      </w:pPr>
      <w:r>
        <w:rPr>
          <w:rFonts w:hint="eastAsia" w:ascii="黑体" w:hAnsi="黑体" w:eastAsia="黑体" w:cs="黑体"/>
          <w:sz w:val="32"/>
          <w:szCs w:val="32"/>
        </w:rPr>
        <w:t>七、美育工作产出效果</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（一）重大艺术展演活动参与及获奖情况</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（二）美育科研教研数量及影响力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（三）美育服务社会能力</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1.美育志愿服务</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2.社会美育实践活动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3.校园美育实践活动</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4.艺术场馆开放</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八、本校特色案例、特色举措</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指学校在专业美育、公共美育工作特色及建设成效。包括政策文件的制定，美育相关的办学特色、校园美育环境建设特色和美育相关奖励激励特色等。</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九、存在问题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包括以往和今年的问题</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十、对策建议</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包括针对本校上一年度和今年不足问题的改进对策，需要上级协调或相关部门协同共育的建议。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4MTY0YWQyMTA2ZTkxOWVjZWM3ODAxNjcxNzgzYzMifQ=="/>
  </w:docVars>
  <w:rsids>
    <w:rsidRoot w:val="7FF5AE33"/>
    <w:rsid w:val="4FEB50C2"/>
    <w:rsid w:val="7FF5A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2022-12-06T16:58:00Z</dcterms:created>
  <dc:creator>郑娟娟</dc:creator>
  <cp:lastModifiedBy>星辰</cp:lastModifiedBy>
  <dcterms:modified xsi:type="dcterms:W3CDTF">2023-11-01T07:33:14Z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C9ECEE2003474DD89AF9A8D809B9F3C0_12</vt:lpwstr>
  </property>
</Properties>
</file>